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right"/>
        <w:rPr>
          <w:rFonts w:hint="default" w:ascii="Times New Roman" w:hAnsi="Times New Roman" w:eastAsia="黑体" w:cs="Times New Roman"/>
          <w:sz w:val="28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第（</w:t>
      </w:r>
      <w:r>
        <w:rPr>
          <w:rFonts w:hint="eastAsia" w:eastAsia="黑体" w:cs="Times New Roman"/>
          <w:sz w:val="28"/>
          <w:szCs w:val="36"/>
          <w:lang w:val="en-US" w:eastAsia="zh-CN"/>
        </w:rPr>
        <w:t>X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 xml:space="preserve">）次回复 </w:t>
      </w:r>
      <w:r>
        <w:rPr>
          <w:rFonts w:hint="eastAsia" w:eastAsia="黑体" w:cs="Times New Roman"/>
          <w:sz w:val="28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回复时间：202</w:t>
      </w:r>
      <w:r>
        <w:rPr>
          <w:rFonts w:hint="eastAsia" w:eastAsia="黑体" w:cs="Times New Roman"/>
          <w:sz w:val="28"/>
          <w:szCs w:val="36"/>
          <w:lang w:val="en-US" w:eastAsia="zh-CN"/>
        </w:rPr>
        <w:t>X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.</w:t>
      </w:r>
      <w:r>
        <w:rPr>
          <w:rFonts w:hint="eastAsia" w:eastAsia="黑体" w:cs="Times New Roman"/>
          <w:sz w:val="28"/>
          <w:szCs w:val="36"/>
          <w:lang w:val="en-US" w:eastAsia="zh-CN"/>
        </w:rPr>
        <w:t>XX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.</w:t>
      </w:r>
      <w:r>
        <w:rPr>
          <w:rFonts w:hint="eastAsia" w:eastAsia="黑体" w:cs="Times New Roman"/>
          <w:sz w:val="28"/>
          <w:szCs w:val="36"/>
          <w:lang w:val="en-US" w:eastAsia="zh-CN"/>
        </w:rPr>
        <w:t>XX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44"/>
        </w:rPr>
        <w:t>南京市建设工程</w:t>
      </w:r>
      <w:r>
        <w:rPr>
          <w:rFonts w:hint="default" w:ascii="Times New Roman" w:hAnsi="Times New Roman" w:eastAsia="黑体" w:cs="Times New Roman"/>
          <w:sz w:val="36"/>
          <w:szCs w:val="44"/>
          <w:lang w:val="en-US" w:eastAsia="zh-CN"/>
        </w:rPr>
        <w:t>勘察</w:t>
      </w:r>
      <w:r>
        <w:rPr>
          <w:rFonts w:hint="default" w:ascii="Times New Roman" w:hAnsi="Times New Roman" w:eastAsia="黑体" w:cs="Times New Roman"/>
          <w:sz w:val="36"/>
          <w:szCs w:val="44"/>
        </w:rPr>
        <w:t>文件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44"/>
        </w:rPr>
        <w:t>数字化审查整改回复单</w:t>
      </w:r>
      <w:r>
        <w:rPr>
          <w:rFonts w:hint="default" w:ascii="Times New Roman" w:hAnsi="Times New Roman" w:eastAsia="黑体" w:cs="Times New Roman"/>
          <w:sz w:val="36"/>
          <w:szCs w:val="44"/>
          <w:lang w:eastAsia="zh-CN"/>
        </w:rPr>
        <w:t>【参考式样】</w:t>
      </w:r>
    </w:p>
    <w:p>
      <w:pPr>
        <w:spacing w:line="120" w:lineRule="exact"/>
        <w:rPr>
          <w:rFonts w:hint="default" w:ascii="Times New Roman" w:hAnsi="Times New Roman" w:eastAsia="仿宋_GB2312" w:cs="Times New Roman"/>
          <w:szCs w:val="21"/>
        </w:rPr>
      </w:pPr>
    </w:p>
    <w:bookmarkEnd w:id="0"/>
    <w:p>
      <w:pPr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 xml:space="preserve">项目名称：                            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24"/>
        </w:rPr>
        <w:t xml:space="preserve">设计单位：                             审查意见书编号：    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524"/>
        <w:gridCol w:w="2148"/>
        <w:gridCol w:w="214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审查意见</w:t>
            </w:r>
          </w:p>
        </w:tc>
        <w:tc>
          <w:tcPr>
            <w:tcW w:w="424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回复意见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427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一、强制性条文：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无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二、审查要点: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基坑边地层变化大，应适当加密钻孔。不满足《建筑基坑支护技术规程》（JGJ120-2012）3.2.1-2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、其它: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按规划总平面图复核建筑物，地下室范围，明确勘探点布置是否满足要求，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2.文字报告中，有许多公式符号没有显示，请补充，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4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一、强制性条文：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无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二、审查要点: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已整改，已增补钻孔，完善了剖面图，见整改报告13剖面。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、其它: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整改，补充图纸，详见建施10，关联图纸建施04a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2.已整改，详见报告文字说明第15页。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签字栏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项目负责人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编制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校对人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注意事项</w:t>
            </w:r>
          </w:p>
        </w:tc>
        <w:tc>
          <w:tcPr>
            <w:tcW w:w="6921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238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2023-06-09T02:18:22Z</dcterms:created>
  <dc:creator>Administrator</dc:creator>
  <cp:lastModifiedBy>Augustine Law</cp:lastModifiedBy>
  <dcterms:modified xsi:type="dcterms:W3CDTF">2023-06-09T02:18:33Z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65C3891A7ADA4BEDB318698F5349B7F9_12</vt:lpwstr>
  </property>
</Properties>
</file>